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仿宋_GB2312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方正仿宋_GB2312"/>
          <w:color w:val="000000"/>
          <w:sz w:val="28"/>
          <w:szCs w:val="28"/>
          <w:highlight w:val="none"/>
        </w:rPr>
        <w:t>附件2：代理机构比选评分细则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highlight w:val="none"/>
        </w:rPr>
        <w:t>比选采用综合评分法，满分100分，具体细则如下：</w:t>
      </w:r>
    </w:p>
    <w:tbl>
      <w:tblPr>
        <w:tblStyle w:val="3"/>
        <w:tblW w:w="93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52"/>
        <w:gridCol w:w="7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评审因素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满分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报价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30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当代理机构小于等于5家时，所有代理机构的有效报价算术平均值为基准值；当代理机构大于5家小于等于7家时，所有代理机构的有效报价去掉1个最高，1个最低后的算术平均值为基准值；当代理机构大于7小于等于9家时，所有代理机构的有效报价去掉1个最高，2个最低后的算术平均值为基准值；当代理机构大于9小于等于11家时，所有代理机构的有效报价去掉2个最高，3个最低后的算术平均值为基准值；当代理机构大于11家时，所有代理机构的有效报价去掉3个最高，4个最低后的算术平均值为基准值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评审基准价=评审价平均值。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在评审过程中，评审小组应对计算的评审基准价进行复核，存在计算错误的应予以修正并在比选打分汇总表中作出说明。除此之外，评审基准价在整个评审期间保持不变，不随任何因素发生变化。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评审价得分计算公式为：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（1）如果代理机构的报价＞评审基准价，则报价得分=F-偏差率×100×E1；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（2）如果代理机构的报价≤评审基准价，则报价得分=F+偏差率×100×E2；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其中，F是报价所占的评分满分值；E1是报价每高于评审基准价一个百分点的扣分值；E2是报价每低于评审基准价一个百分点的扣分值。报价得分最低减至0分。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F=30，E1=0.2，E2=0.2。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tblCellSpacing w:w="0" w:type="dxa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企业业绩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10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提供202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年01月01日（含）（以委托协议日期为准）</w:t>
            </w:r>
            <w:bookmarkStart w:id="0" w:name="_GoBack"/>
            <w:r>
              <w:rPr>
                <w:rFonts w:hint="eastAsia" w:ascii="仿宋" w:hAnsi="仿宋" w:eastAsia="仿宋" w:cs="宋体"/>
                <w:sz w:val="24"/>
                <w:highlight w:val="none"/>
              </w:rPr>
              <w:t>以来承担过的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类似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施工类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或工程类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项目</w:t>
            </w:r>
            <w:bookmarkEnd w:id="0"/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，每提供一份委托协议得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分，最多得10分。注：以提供的项目委托协议复印件为准。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tblCellSpacing w:w="0" w:type="dxa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职业操守、市场行为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15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根据代理机构提供的的执业操守情况，包括但不限于荣誉、信誉情况（含获奖情况），在0-10分之前酌情打分。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在“信用中国”网站上没有列入失信被执行人名单、没有列入重大税收违法案件当事人名单、没有列入采购严重违法失信名单证明资料。在0-5分之前酌情打分。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tblCellSpacing w:w="0" w:type="dxa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实力资信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25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pStyle w:val="2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1、在聊城地区具有办公场所面积在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00平方米（不含）以下得1分，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00平方米（含）～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00平方米（不含）得2分，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00平方米（含）以上的得3分。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注：需在报价文件中附办公场所证明资料并加盖公章，否则不予计分。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2、有组织招标所必备的硬件条件。音视频设备、多媒体设备、监控设施的配备情况进行综合评审，得0-3分。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注：需在报价文件中附设备照片并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加盖公章，否则不予计分。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3、拟派项目负责人为公司在职员工，具有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以上职称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或注册类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分；最高得3分。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拟派项目班子管理人员（不含项目负责人）具有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中级及以上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级职称的或者国家注册类资格的，每有1人得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分；同一人职称证与注册证不可重复计分。本项最高得16分。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sz w:val="24"/>
                <w:highlight w:val="none"/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需在报价文件中附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注册证（或职称证）、社保证明复印件加盖公章，否则不予计分。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CellSpacing w:w="0" w:type="dxa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代理方案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20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根据代理服务方案共5项，每项在0-4分之间酌情打分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tblCellSpacing w:w="0" w:type="dxa"/>
          <w:jc w:val="center"/>
        </w:trPr>
        <w:tc>
          <w:tcPr>
            <w:tcW w:w="202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备 注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评审小组对代理机构打分，最终得分取所有评委打分的算术平均值。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86E87"/>
    <w:multiLevelType w:val="singleLevel"/>
    <w:tmpl w:val="81386E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TZmODk0NGQ3YzUyMmM0NTcyM2ZhZjNjZWVmMmYifQ=="/>
  </w:docVars>
  <w:rsids>
    <w:rsidRoot w:val="53E82F7D"/>
    <w:rsid w:val="1FFF3A0C"/>
    <w:rsid w:val="53E82F7D"/>
    <w:rsid w:val="6B9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2024-05-10T01:04:00Z</dcterms:created>
  <dc:creator>汪余浩</dc:creator>
  <cp:lastModifiedBy>聂长虎</cp:lastModifiedBy>
  <dcterms:modified xsi:type="dcterms:W3CDTF">2024-05-17T07:07:48Z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3B899F71B120432ABE0E494229E05D8C_11</vt:lpwstr>
  </property>
</Properties>
</file>